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D41213" w:rsidRPr="00D41213" w:rsidTr="00D41213">
        <w:trPr>
          <w:tblCellSpacing w:w="0" w:type="dxa"/>
        </w:trPr>
        <w:tc>
          <w:tcPr>
            <w:tcW w:w="3348" w:type="dxa"/>
            <w:tcMar>
              <w:top w:w="0" w:type="dxa"/>
              <w:left w:w="108" w:type="dxa"/>
              <w:bottom w:w="0" w:type="dxa"/>
              <w:right w:w="108" w:type="dxa"/>
            </w:tcMa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ỦY BAN NHÂN DÂN</w:t>
            </w:r>
            <w:r w:rsidRPr="00D41213">
              <w:rPr>
                <w:rFonts w:ascii="Times New Roman" w:eastAsia="Times New Roman" w:hAnsi="Times New Roman" w:cs="Times New Roman"/>
                <w:b/>
                <w:bCs/>
                <w:sz w:val="28"/>
                <w:szCs w:val="28"/>
              </w:rPr>
              <w:br/>
            </w:r>
            <w:r w:rsidRPr="00D41213">
              <w:rPr>
                <w:rFonts w:ascii="Times New Roman" w:eastAsia="Times New Roman" w:hAnsi="Times New Roman" w:cs="Times New Roman"/>
                <w:b/>
                <w:bCs/>
                <w:sz w:val="28"/>
                <w:szCs w:val="28"/>
                <w:lang w:val="vi-VN"/>
              </w:rPr>
              <w:t>TỈNH HÀ TĨNH</w:t>
            </w:r>
            <w:r w:rsidRPr="00D41213">
              <w:rPr>
                <w:rFonts w:ascii="Times New Roman" w:eastAsia="Times New Roman" w:hAnsi="Times New Roman" w:cs="Times New Roman"/>
                <w:b/>
                <w:bCs/>
                <w:sz w:val="28"/>
                <w:szCs w:val="28"/>
              </w:rPr>
              <w:br/>
              <w:t>---------</w:t>
            </w:r>
          </w:p>
        </w:tc>
        <w:tc>
          <w:tcPr>
            <w:tcW w:w="6258" w:type="dxa"/>
            <w:tcMar>
              <w:top w:w="0" w:type="dxa"/>
              <w:left w:w="108" w:type="dxa"/>
              <w:bottom w:w="0" w:type="dxa"/>
              <w:right w:w="108" w:type="dxa"/>
            </w:tcMa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CỘNG HÒA XÃ HỘI CHỦ NGHĨA VIỆT NAM</w:t>
            </w:r>
            <w:r w:rsidRPr="00D41213">
              <w:rPr>
                <w:rFonts w:ascii="Times New Roman" w:eastAsia="Times New Roman" w:hAnsi="Times New Roman" w:cs="Times New Roman"/>
                <w:b/>
                <w:bCs/>
                <w:sz w:val="28"/>
                <w:szCs w:val="28"/>
                <w:lang w:val="vi-VN"/>
              </w:rPr>
              <w:br/>
              <w:t>Độc lập - Tự do - Hạnh phúc</w:t>
            </w:r>
            <w:r w:rsidRPr="00D41213">
              <w:rPr>
                <w:rFonts w:ascii="Times New Roman" w:eastAsia="Times New Roman" w:hAnsi="Times New Roman" w:cs="Times New Roman"/>
                <w:b/>
                <w:bCs/>
                <w:sz w:val="28"/>
                <w:szCs w:val="28"/>
                <w:lang w:val="vi-VN"/>
              </w:rPr>
              <w:br/>
              <w:t>---------------</w:t>
            </w:r>
          </w:p>
        </w:tc>
      </w:tr>
      <w:tr w:rsidR="00D41213" w:rsidRPr="00D41213" w:rsidTr="00D41213">
        <w:trPr>
          <w:tblCellSpacing w:w="0" w:type="dxa"/>
        </w:trPr>
        <w:tc>
          <w:tcPr>
            <w:tcW w:w="3348" w:type="dxa"/>
            <w:tcMar>
              <w:top w:w="0" w:type="dxa"/>
              <w:left w:w="108" w:type="dxa"/>
              <w:bottom w:w="0" w:type="dxa"/>
              <w:right w:w="108" w:type="dxa"/>
            </w:tcMa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Số: </w:t>
            </w:r>
            <w:r w:rsidRPr="00D41213">
              <w:rPr>
                <w:rFonts w:ascii="Times New Roman" w:eastAsia="Times New Roman" w:hAnsi="Times New Roman" w:cs="Times New Roman"/>
                <w:sz w:val="28"/>
                <w:szCs w:val="28"/>
              </w:rPr>
              <w:t>1647/</w:t>
            </w:r>
            <w:r w:rsidRPr="00D41213">
              <w:rPr>
                <w:rFonts w:ascii="Times New Roman" w:eastAsia="Times New Roman" w:hAnsi="Times New Roman" w:cs="Times New Roman"/>
                <w:sz w:val="28"/>
                <w:szCs w:val="28"/>
                <w:lang w:val="vi-VN"/>
              </w:rPr>
              <w:t>QĐ-UBND</w:t>
            </w:r>
          </w:p>
        </w:tc>
        <w:tc>
          <w:tcPr>
            <w:tcW w:w="6258" w:type="dxa"/>
            <w:tcMar>
              <w:top w:w="0" w:type="dxa"/>
              <w:left w:w="108" w:type="dxa"/>
              <w:bottom w:w="0" w:type="dxa"/>
              <w:right w:w="108" w:type="dxa"/>
            </w:tcMar>
            <w:hideMark/>
          </w:tcPr>
          <w:p w:rsidR="00D41213" w:rsidRPr="00D41213" w:rsidRDefault="00D41213" w:rsidP="00D41213">
            <w:pPr>
              <w:spacing w:before="120" w:after="120" w:line="234" w:lineRule="atLeast"/>
              <w:jc w:val="right"/>
              <w:rPr>
                <w:rFonts w:ascii="Times New Roman" w:eastAsia="Times New Roman" w:hAnsi="Times New Roman" w:cs="Times New Roman"/>
                <w:sz w:val="28"/>
                <w:szCs w:val="28"/>
              </w:rPr>
            </w:pPr>
            <w:r w:rsidRPr="00D41213">
              <w:rPr>
                <w:rFonts w:ascii="Times New Roman" w:eastAsia="Times New Roman" w:hAnsi="Times New Roman" w:cs="Times New Roman"/>
                <w:i/>
                <w:iCs/>
                <w:sz w:val="28"/>
                <w:szCs w:val="28"/>
                <w:lang w:val="vi-VN"/>
              </w:rPr>
              <w:t>Hà Tĩnh, ngày 03 tháng 6 năm 2019</w:t>
            </w:r>
          </w:p>
        </w:tc>
      </w:tr>
    </w:tbl>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color w:val="000000"/>
          <w:sz w:val="28"/>
          <w:szCs w:val="28"/>
          <w:lang w:val="vi-VN"/>
        </w:rPr>
        <w:t> </w:t>
      </w:r>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41213">
        <w:rPr>
          <w:rFonts w:ascii="Times New Roman" w:eastAsia="Times New Roman" w:hAnsi="Times New Roman" w:cs="Times New Roman"/>
          <w:b/>
          <w:bCs/>
          <w:color w:val="000000"/>
          <w:sz w:val="28"/>
          <w:szCs w:val="28"/>
          <w:lang w:val="vi-VN"/>
        </w:rPr>
        <w:t>QUYẾT ĐỊNH</w:t>
      </w:r>
      <w:bookmarkEnd w:id="0"/>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D41213">
        <w:rPr>
          <w:rFonts w:ascii="Times New Roman" w:eastAsia="Times New Roman" w:hAnsi="Times New Roman" w:cs="Times New Roman"/>
          <w:color w:val="000000"/>
          <w:sz w:val="28"/>
          <w:szCs w:val="28"/>
          <w:lang w:val="vi-VN"/>
        </w:rPr>
        <w:t>VỀ VIỆC CÔNG BỐ DANH MỤC VÀ QUY TRÌNH THỰC HIỆN LIÊN THÔNG CÁC THỦ TỤC HÀNH CHÍNH: ĐĂNG KÝ KHAI TỬ, XÓA ĐĂNG KÝ THƯỜNG TRÚ, HƯỞNG CHẾ ĐỘ TỬ TUẤT/HỖ TRỢ CHI PHÍ MAI TÁNG/HƯỞNG MAI TÁNG PHÍ TRÊN ĐỊA BÀN TỈNH HÀ TĨNH</w:t>
      </w:r>
      <w:bookmarkEnd w:id="1"/>
    </w:p>
    <w:p w:rsidR="00D41213" w:rsidRPr="00D41213" w:rsidRDefault="00D41213" w:rsidP="00D4121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213">
        <w:rPr>
          <w:rFonts w:ascii="Times New Roman" w:eastAsia="Times New Roman" w:hAnsi="Times New Roman" w:cs="Times New Roman"/>
          <w:b/>
          <w:bCs/>
          <w:color w:val="000000"/>
          <w:sz w:val="28"/>
          <w:szCs w:val="28"/>
          <w:lang w:val="vi-VN"/>
        </w:rPr>
        <w:t>CHỦ TỊCH ỦY BAN NHÂN DÂN TỈNH</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Căn cứ Luật Tổ chức chính quyền địa phương ngày 19/6/2015;</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Căn cứ Nghị định số 63/2010/NĐ-CP ngày 08/6/2010 của Chính phủ về kiểm soát thủ tục hành chính;</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Căn cứ Nghị định số 61/2018/NĐ-CP ngày 23/4/2018 của Chính phủ về việc thực hiện cơ chế một cửa, một cửa liên thông trong giải quyết thủ tục hành chính;</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Căn cứ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i/>
          <w:iCs/>
          <w:color w:val="000000"/>
          <w:sz w:val="28"/>
          <w:szCs w:val="28"/>
          <w:lang w:val="vi-VN"/>
        </w:rPr>
        <w:t>Xét đề nghị của Giám đốc Sở Tư pháp tại Văn bản số 257/STP-VP ngày 17/5/2019,</w:t>
      </w:r>
    </w:p>
    <w:p w:rsidR="00D41213" w:rsidRPr="00D41213" w:rsidRDefault="00D41213" w:rsidP="00D4121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213">
        <w:rPr>
          <w:rFonts w:ascii="Times New Roman" w:eastAsia="Times New Roman" w:hAnsi="Times New Roman" w:cs="Times New Roman"/>
          <w:b/>
          <w:bCs/>
          <w:color w:val="000000"/>
          <w:sz w:val="28"/>
          <w:szCs w:val="28"/>
          <w:lang w:val="vi-VN"/>
        </w:rPr>
        <w:t>QUYẾT ĐỊNH:</w:t>
      </w:r>
    </w:p>
    <w:p w:rsidR="00D41213" w:rsidRPr="00D41213" w:rsidRDefault="00D41213" w:rsidP="00D41213">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D41213">
        <w:rPr>
          <w:rFonts w:ascii="Times New Roman" w:eastAsia="Times New Roman" w:hAnsi="Times New Roman" w:cs="Times New Roman"/>
          <w:b/>
          <w:bCs/>
          <w:color w:val="000000"/>
          <w:sz w:val="28"/>
          <w:szCs w:val="28"/>
          <w:lang w:val="vi-VN"/>
        </w:rPr>
        <w:t>Điều 1.</w:t>
      </w:r>
      <w:bookmarkEnd w:id="2"/>
      <w:r w:rsidRPr="00D41213">
        <w:rPr>
          <w:rFonts w:ascii="Times New Roman" w:eastAsia="Times New Roman" w:hAnsi="Times New Roman" w:cs="Times New Roman"/>
          <w:b/>
          <w:bCs/>
          <w:color w:val="000000"/>
          <w:sz w:val="28"/>
          <w:szCs w:val="28"/>
          <w:lang w:val="vi-VN"/>
        </w:rPr>
        <w:t> </w:t>
      </w:r>
      <w:bookmarkStart w:id="3" w:name="dieu_1_name"/>
      <w:r w:rsidRPr="00D41213">
        <w:rPr>
          <w:rFonts w:ascii="Times New Roman" w:eastAsia="Times New Roman" w:hAnsi="Times New Roman" w:cs="Times New Roman"/>
          <w:color w:val="000000"/>
          <w:sz w:val="28"/>
          <w:szCs w:val="28"/>
          <w:lang w:val="vi-VN"/>
        </w:rPr>
        <w:t>Công bố kèm theo Quyết định này Danh mục và quy trình thực hiện liên thông thủ tục hành chính: Đăng ký khai tử, xóa đăng ký thường trú, hưởng chế độ tử tuất/hỗ trợ chi phí mai táng/hưởng mai táng phí trên địa bàn tỉnh Hà Tĩnh.</w:t>
      </w:r>
      <w:bookmarkEnd w:id="3"/>
    </w:p>
    <w:p w:rsidR="00D41213" w:rsidRPr="00D41213" w:rsidRDefault="00D41213" w:rsidP="00D41213">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D41213">
        <w:rPr>
          <w:rFonts w:ascii="Times New Roman" w:eastAsia="Times New Roman" w:hAnsi="Times New Roman" w:cs="Times New Roman"/>
          <w:b/>
          <w:bCs/>
          <w:color w:val="000000"/>
          <w:sz w:val="28"/>
          <w:szCs w:val="28"/>
          <w:lang w:val="vi-VN"/>
        </w:rPr>
        <w:t>Điều 2.</w:t>
      </w:r>
      <w:bookmarkEnd w:id="4"/>
      <w:r w:rsidRPr="00D41213">
        <w:rPr>
          <w:rFonts w:ascii="Times New Roman" w:eastAsia="Times New Roman" w:hAnsi="Times New Roman" w:cs="Times New Roman"/>
          <w:b/>
          <w:bCs/>
          <w:color w:val="000000"/>
          <w:sz w:val="28"/>
          <w:szCs w:val="28"/>
          <w:lang w:val="vi-VN"/>
        </w:rPr>
        <w:t> </w:t>
      </w:r>
      <w:bookmarkStart w:id="5" w:name="dieu_2_name"/>
      <w:r w:rsidRPr="00D41213">
        <w:rPr>
          <w:rFonts w:ascii="Times New Roman" w:eastAsia="Times New Roman" w:hAnsi="Times New Roman" w:cs="Times New Roman"/>
          <w:color w:val="000000"/>
          <w:sz w:val="28"/>
          <w:szCs w:val="28"/>
          <w:lang w:val="vi-VN"/>
        </w:rPr>
        <w:t>Giao Văn phòng Đoàn ĐBQH, HĐND và UBND tỉnh (Trung tâm Thông tin - Công báo - Tin học), căn cứ Quyết định này xây dựng quy trình điện tử giải quyết thủ tục hành chính liên thông trên Hệ thống thông tin Dịch vụ công trực tuyến của tỉnh, tổ chức tập huấn sử dụng Hệ thống dịch vụ công cho cán bộ, công chức, viên chức các cơ quan, đơn vị, địa phương thực hiện việc tiếp nhận hồ sơ và giải quyết thủ tục hành chính liên thông theo quy định.</w:t>
      </w:r>
      <w:bookmarkEnd w:id="5"/>
    </w:p>
    <w:p w:rsidR="00D41213" w:rsidRPr="00D41213" w:rsidRDefault="00D41213" w:rsidP="00D41213">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D41213">
        <w:rPr>
          <w:rFonts w:ascii="Times New Roman" w:eastAsia="Times New Roman" w:hAnsi="Times New Roman" w:cs="Times New Roman"/>
          <w:b/>
          <w:bCs/>
          <w:color w:val="000000"/>
          <w:sz w:val="28"/>
          <w:szCs w:val="28"/>
          <w:lang w:val="vi-VN"/>
        </w:rPr>
        <w:t>Điều 3.</w:t>
      </w:r>
      <w:bookmarkEnd w:id="6"/>
      <w:r w:rsidRPr="00D41213">
        <w:rPr>
          <w:rFonts w:ascii="Times New Roman" w:eastAsia="Times New Roman" w:hAnsi="Times New Roman" w:cs="Times New Roman"/>
          <w:b/>
          <w:bCs/>
          <w:color w:val="000000"/>
          <w:sz w:val="28"/>
          <w:szCs w:val="28"/>
          <w:lang w:val="vi-VN"/>
        </w:rPr>
        <w:t> </w:t>
      </w:r>
      <w:bookmarkStart w:id="7" w:name="dieu_3_name"/>
      <w:r w:rsidRPr="00D41213">
        <w:rPr>
          <w:rFonts w:ascii="Times New Roman" w:eastAsia="Times New Roman" w:hAnsi="Times New Roman" w:cs="Times New Roman"/>
          <w:b/>
          <w:bCs/>
          <w:color w:val="000000"/>
          <w:sz w:val="28"/>
          <w:szCs w:val="28"/>
          <w:lang w:val="vi-VN"/>
        </w:rPr>
        <w:t>Quyết định này có hiệu lực kể từ ngày ban hành.</w:t>
      </w:r>
      <w:bookmarkEnd w:id="7"/>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color w:val="000000"/>
          <w:sz w:val="28"/>
          <w:szCs w:val="28"/>
          <w:lang w:val="vi-VN"/>
        </w:rPr>
        <w:lastRenderedPageBreak/>
        <w:t>Chánh Văn phòng Đoàn ĐBQH, HĐND và UBND tỉnh; Giám đốc các sở; Thủ trưởng các ban, ngành cấp tỉnh; Giám đốc: Trung tâm Phục vụ Hành chính công tỉnh, Trung tâm Hành chính công cấp huyện; Trung tâm Thông tin - Công báo - Tin học; Chủ tịch UBND các huyện, thành phố, thị xã; Chủ tịch UBND các xã, phường, thị trấn và các tổ chức, cá nhân có liên quan chịu trách nhiệm thi hành Quyết định này./.</w:t>
      </w:r>
    </w:p>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41213" w:rsidRPr="00D41213" w:rsidTr="00D41213">
        <w:trPr>
          <w:tblCellSpacing w:w="0" w:type="dxa"/>
        </w:trPr>
        <w:tc>
          <w:tcPr>
            <w:tcW w:w="4428" w:type="dxa"/>
            <w:tcMar>
              <w:top w:w="0" w:type="dxa"/>
              <w:left w:w="108" w:type="dxa"/>
              <w:bottom w:w="0" w:type="dxa"/>
              <w:right w:w="108" w:type="dxa"/>
            </w:tcMa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b/>
                <w:bCs/>
                <w:i/>
                <w:iCs/>
                <w:sz w:val="28"/>
                <w:szCs w:val="28"/>
                <w:lang w:val="vi-VN"/>
              </w:rPr>
              <w:br/>
              <w:t>Nơi nhận:</w:t>
            </w:r>
            <w:r w:rsidRPr="00D41213">
              <w:rPr>
                <w:rFonts w:ascii="Times New Roman" w:eastAsia="Times New Roman" w:hAnsi="Times New Roman" w:cs="Times New Roman"/>
                <w:b/>
                <w:bCs/>
                <w:i/>
                <w:iCs/>
                <w:sz w:val="28"/>
                <w:szCs w:val="28"/>
                <w:lang w:val="vi-VN"/>
              </w:rPr>
              <w:br/>
            </w:r>
            <w:r w:rsidRPr="00D41213">
              <w:rPr>
                <w:rFonts w:ascii="Times New Roman" w:eastAsia="Times New Roman" w:hAnsi="Times New Roman" w:cs="Times New Roman"/>
                <w:sz w:val="28"/>
                <w:szCs w:val="28"/>
                <w:lang w:val="vi-VN"/>
              </w:rPr>
              <w:t>- Như Điều 3;</w:t>
            </w:r>
            <w:r w:rsidRPr="00D41213">
              <w:rPr>
                <w:rFonts w:ascii="Times New Roman" w:eastAsia="Times New Roman" w:hAnsi="Times New Roman" w:cs="Times New Roman"/>
                <w:sz w:val="28"/>
                <w:szCs w:val="28"/>
                <w:lang w:val="vi-VN"/>
              </w:rPr>
              <w:br/>
              <w:t>- Cục KSTTHC - VPCP;</w:t>
            </w:r>
            <w:r w:rsidRPr="00D41213">
              <w:rPr>
                <w:rFonts w:ascii="Times New Roman" w:eastAsia="Times New Roman" w:hAnsi="Times New Roman" w:cs="Times New Roman"/>
                <w:sz w:val="28"/>
                <w:szCs w:val="28"/>
                <w:lang w:val="vi-VN"/>
              </w:rPr>
              <w:br/>
              <w:t>- Chủ tịch, các PCT UBND tỉnh;</w:t>
            </w:r>
            <w:r w:rsidRPr="00D41213">
              <w:rPr>
                <w:rFonts w:ascii="Times New Roman" w:eastAsia="Times New Roman" w:hAnsi="Times New Roman" w:cs="Times New Roman"/>
                <w:sz w:val="28"/>
                <w:szCs w:val="28"/>
                <w:lang w:val="vi-VN"/>
              </w:rPr>
              <w:br/>
              <w:t>- CVP các PVP;</w:t>
            </w:r>
            <w:r w:rsidRPr="00D41213">
              <w:rPr>
                <w:rFonts w:ascii="Times New Roman" w:eastAsia="Times New Roman" w:hAnsi="Times New Roman" w:cs="Times New Roman"/>
                <w:sz w:val="28"/>
                <w:szCs w:val="28"/>
                <w:lang w:val="vi-VN"/>
              </w:rPr>
              <w:br/>
              <w:t>- Trung tâm PV HCC tỉnh;</w:t>
            </w:r>
            <w:r w:rsidRPr="00D41213">
              <w:rPr>
                <w:rFonts w:ascii="Times New Roman" w:eastAsia="Times New Roman" w:hAnsi="Times New Roman" w:cs="Times New Roman"/>
                <w:sz w:val="28"/>
                <w:szCs w:val="28"/>
                <w:lang w:val="vi-VN"/>
              </w:rPr>
              <w:br/>
              <w:t>- Trung tâm TT-CB-TH tỉnh;</w:t>
            </w:r>
            <w:r w:rsidRPr="00D41213">
              <w:rPr>
                <w:rFonts w:ascii="Times New Roman" w:eastAsia="Times New Roman" w:hAnsi="Times New Roman" w:cs="Times New Roman"/>
                <w:sz w:val="28"/>
                <w:szCs w:val="28"/>
                <w:lang w:val="vi-VN"/>
              </w:rPr>
              <w:br/>
              <w:t>- Lưu: VT, NC-PC.</w:t>
            </w:r>
          </w:p>
        </w:tc>
        <w:tc>
          <w:tcPr>
            <w:tcW w:w="4428" w:type="dxa"/>
            <w:tcMar>
              <w:top w:w="0" w:type="dxa"/>
              <w:left w:w="108" w:type="dxa"/>
              <w:bottom w:w="0" w:type="dxa"/>
              <w:right w:w="108" w:type="dxa"/>
            </w:tcMa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KT. CHỦ TỊCH</w:t>
            </w:r>
            <w:r w:rsidRPr="00D41213">
              <w:rPr>
                <w:rFonts w:ascii="Times New Roman" w:eastAsia="Times New Roman" w:hAnsi="Times New Roman" w:cs="Times New Roman"/>
                <w:b/>
                <w:bCs/>
                <w:sz w:val="28"/>
                <w:szCs w:val="28"/>
                <w:lang w:val="vi-VN"/>
              </w:rPr>
              <w:br/>
              <w:t>PHÓ CHỦ TỊCH</w:t>
            </w:r>
            <w:r w:rsidRPr="00D41213">
              <w:rPr>
                <w:rFonts w:ascii="Times New Roman" w:eastAsia="Times New Roman" w:hAnsi="Times New Roman" w:cs="Times New Roman"/>
                <w:b/>
                <w:bCs/>
                <w:sz w:val="28"/>
                <w:szCs w:val="28"/>
                <w:lang w:val="vi-VN"/>
              </w:rPr>
              <w:br/>
            </w:r>
            <w:r w:rsidRPr="00D41213">
              <w:rPr>
                <w:rFonts w:ascii="Times New Roman" w:eastAsia="Times New Roman" w:hAnsi="Times New Roman" w:cs="Times New Roman"/>
                <w:b/>
                <w:bCs/>
                <w:sz w:val="28"/>
                <w:szCs w:val="28"/>
                <w:lang w:val="vi-VN"/>
              </w:rPr>
              <w:br/>
            </w:r>
            <w:r w:rsidRPr="00D41213">
              <w:rPr>
                <w:rFonts w:ascii="Times New Roman" w:eastAsia="Times New Roman" w:hAnsi="Times New Roman" w:cs="Times New Roman"/>
                <w:b/>
                <w:bCs/>
                <w:sz w:val="28"/>
                <w:szCs w:val="28"/>
                <w:lang w:val="vi-VN"/>
              </w:rPr>
              <w:br/>
            </w:r>
            <w:r w:rsidRPr="00D41213">
              <w:rPr>
                <w:rFonts w:ascii="Times New Roman" w:eastAsia="Times New Roman" w:hAnsi="Times New Roman" w:cs="Times New Roman"/>
                <w:b/>
                <w:bCs/>
                <w:sz w:val="28"/>
                <w:szCs w:val="28"/>
                <w:lang w:val="vi-VN"/>
              </w:rPr>
              <w:br/>
            </w:r>
            <w:r w:rsidRPr="00D41213">
              <w:rPr>
                <w:rFonts w:ascii="Times New Roman" w:eastAsia="Times New Roman" w:hAnsi="Times New Roman" w:cs="Times New Roman"/>
                <w:b/>
                <w:bCs/>
                <w:sz w:val="28"/>
                <w:szCs w:val="28"/>
                <w:lang w:val="vi-VN"/>
              </w:rPr>
              <w:br/>
              <w:t>Đặng Quốc Vinh</w:t>
            </w:r>
          </w:p>
        </w:tc>
      </w:tr>
    </w:tbl>
    <w:p w:rsidR="00D41213" w:rsidRDefault="00D41213" w:rsidP="00D41213">
      <w:pPr>
        <w:spacing w:after="0" w:line="240" w:lineRule="auto"/>
        <w:rPr>
          <w:rFonts w:ascii="Times New Roman" w:eastAsia="Times New Roman" w:hAnsi="Times New Roman" w:cs="Times New Roman"/>
          <w:sz w:val="28"/>
          <w:szCs w:val="28"/>
          <w:lang w:val="vi-VN"/>
        </w:rPr>
      </w:pPr>
      <w:r w:rsidRPr="00D41213">
        <w:rPr>
          <w:rFonts w:ascii="Times New Roman" w:eastAsia="Times New Roman" w:hAnsi="Times New Roman" w:cs="Times New Roman"/>
          <w:color w:val="000000"/>
          <w:sz w:val="28"/>
          <w:szCs w:val="28"/>
          <w:shd w:val="clear" w:color="auto" w:fill="FFFFFF"/>
          <w:lang w:val="vi-VN"/>
        </w:rPr>
        <w:br w:type="textWrapping" w:clear="all"/>
      </w: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Default="00D41213" w:rsidP="00D41213">
      <w:pPr>
        <w:spacing w:after="0" w:line="240" w:lineRule="auto"/>
        <w:rPr>
          <w:rFonts w:ascii="Times New Roman" w:eastAsia="Times New Roman" w:hAnsi="Times New Roman" w:cs="Times New Roman"/>
          <w:sz w:val="28"/>
          <w:szCs w:val="28"/>
          <w:lang w:val="vi-VN"/>
        </w:rPr>
      </w:pPr>
    </w:p>
    <w:p w:rsidR="00D41213" w:rsidRPr="00D41213" w:rsidRDefault="00D41213" w:rsidP="00D41213">
      <w:pPr>
        <w:spacing w:after="0" w:line="240" w:lineRule="auto"/>
        <w:rPr>
          <w:rFonts w:ascii="Times New Roman" w:eastAsia="Times New Roman" w:hAnsi="Times New Roman" w:cs="Times New Roman"/>
          <w:sz w:val="28"/>
          <w:szCs w:val="28"/>
          <w:lang w:val="vi-VN"/>
        </w:rPr>
      </w:pPr>
      <w:bookmarkStart w:id="8" w:name="_GoBack"/>
      <w:bookmarkEnd w:id="8"/>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D41213">
        <w:rPr>
          <w:rFonts w:ascii="Times New Roman" w:eastAsia="Times New Roman" w:hAnsi="Times New Roman" w:cs="Times New Roman"/>
          <w:b/>
          <w:bCs/>
          <w:color w:val="000000"/>
          <w:sz w:val="28"/>
          <w:szCs w:val="28"/>
          <w:lang w:val="vi-VN"/>
        </w:rPr>
        <w:lastRenderedPageBreak/>
        <w:t>DANH MỤC VÀ QUY TRÌNH</w:t>
      </w:r>
      <w:bookmarkEnd w:id="9"/>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loai_2_name"/>
      <w:r w:rsidRPr="00D41213">
        <w:rPr>
          <w:rFonts w:ascii="Times New Roman" w:eastAsia="Times New Roman" w:hAnsi="Times New Roman" w:cs="Times New Roman"/>
          <w:color w:val="000000"/>
          <w:sz w:val="28"/>
          <w:szCs w:val="28"/>
          <w:lang w:val="vi-VN"/>
        </w:rPr>
        <w:t>GIẢI QUYẾT LIÊN THÔNG CÁC TTHC: ĐĂNG KÝ KHAI TỬ, XÓA ĐĂNG KÝ THƯỜNG TRÚ, HƯỞNG CHẾ ĐỘ TỬ TUẤT/HỖ TRỢ CHI PHÍ MAI TÁNG/HƯỞNG MAI TÁNG PHÍ</w:t>
      </w:r>
      <w:bookmarkEnd w:id="10"/>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1"/>
      <w:r w:rsidRPr="00D41213">
        <w:rPr>
          <w:rFonts w:ascii="Times New Roman" w:eastAsia="Times New Roman" w:hAnsi="Times New Roman" w:cs="Times New Roman"/>
          <w:b/>
          <w:bCs/>
          <w:color w:val="000000"/>
          <w:sz w:val="28"/>
          <w:szCs w:val="28"/>
          <w:lang w:val="vi-VN"/>
        </w:rPr>
        <w:t>PHẦN I:</w:t>
      </w:r>
      <w:bookmarkEnd w:id="11"/>
    </w:p>
    <w:p w:rsidR="00D41213" w:rsidRPr="00D41213" w:rsidRDefault="00D41213" w:rsidP="00D41213">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1_name"/>
      <w:r w:rsidRPr="00D41213">
        <w:rPr>
          <w:rFonts w:ascii="Times New Roman" w:eastAsia="Times New Roman" w:hAnsi="Times New Roman" w:cs="Times New Roman"/>
          <w:b/>
          <w:bCs/>
          <w:color w:val="000000"/>
          <w:sz w:val="28"/>
          <w:szCs w:val="28"/>
          <w:lang w:val="vi-VN"/>
        </w:rPr>
        <w:t>DANH MỤC CÁC TTHC LIÊN THÔNG</w:t>
      </w:r>
      <w:bookmarkEnd w:id="12"/>
    </w:p>
    <w:tbl>
      <w:tblPr>
        <w:tblW w:w="553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300"/>
        <w:gridCol w:w="2271"/>
        <w:gridCol w:w="1223"/>
        <w:gridCol w:w="1409"/>
        <w:gridCol w:w="2331"/>
        <w:gridCol w:w="1137"/>
      </w:tblGrid>
      <w:tr w:rsidR="00D41213" w:rsidRPr="00D41213" w:rsidTr="00D41213">
        <w:trPr>
          <w:tblCellSpacing w:w="0" w:type="dxa"/>
        </w:trPr>
        <w:tc>
          <w:tcPr>
            <w:tcW w:w="20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TT</w:t>
            </w:r>
          </w:p>
        </w:tc>
        <w:tc>
          <w:tcPr>
            <w:tcW w:w="644"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Tên thủ tục hành chính</w:t>
            </w:r>
          </w:p>
        </w:tc>
        <w:tc>
          <w:tcPr>
            <w:tcW w:w="1127"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Thời hạn giải quyết</w:t>
            </w:r>
          </w:p>
        </w:tc>
        <w:tc>
          <w:tcPr>
            <w:tcW w:w="606"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Địa điểm thực hiện</w:t>
            </w:r>
          </w:p>
        </w:tc>
        <w:tc>
          <w:tcPr>
            <w:tcW w:w="698"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Phí, lệ phí (nếu có)</w:t>
            </w:r>
          </w:p>
        </w:tc>
        <w:tc>
          <w:tcPr>
            <w:tcW w:w="1156"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Căn cứ pháp lý</w:t>
            </w:r>
          </w:p>
        </w:tc>
        <w:tc>
          <w:tcPr>
            <w:tcW w:w="563" w:type="pct"/>
            <w:tcBorders>
              <w:top w:val="single" w:sz="8" w:space="0" w:color="auto"/>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b/>
                <w:bCs/>
                <w:sz w:val="28"/>
                <w:szCs w:val="28"/>
                <w:lang w:val="vi-VN"/>
              </w:rPr>
              <w:t>S</w:t>
            </w:r>
            <w:r w:rsidRPr="00D41213">
              <w:rPr>
                <w:rFonts w:ascii="Times New Roman" w:eastAsia="Times New Roman" w:hAnsi="Times New Roman" w:cs="Times New Roman"/>
                <w:b/>
                <w:bCs/>
                <w:sz w:val="28"/>
                <w:szCs w:val="28"/>
              </w:rPr>
              <w:t>ố </w:t>
            </w:r>
            <w:r w:rsidRPr="00D41213">
              <w:rPr>
                <w:rFonts w:ascii="Times New Roman" w:eastAsia="Times New Roman" w:hAnsi="Times New Roman" w:cs="Times New Roman"/>
                <w:b/>
                <w:bCs/>
                <w:sz w:val="28"/>
                <w:szCs w:val="28"/>
                <w:lang w:val="vi-VN"/>
              </w:rPr>
              <w:t>Trang</w:t>
            </w:r>
          </w:p>
        </w:tc>
      </w:tr>
      <w:tr w:rsidR="00D41213" w:rsidRPr="00D41213" w:rsidTr="00D41213">
        <w:trPr>
          <w:tblCellSpacing w:w="0" w:type="dxa"/>
        </w:trPr>
        <w:tc>
          <w:tcPr>
            <w:tcW w:w="205" w:type="pct"/>
            <w:tcBorders>
              <w:top w:val="nil"/>
              <w:left w:val="single" w:sz="8" w:space="0" w:color="auto"/>
              <w:bottom w:val="single" w:sz="8" w:space="0" w:color="auto"/>
              <w:right w:val="single" w:sz="8" w:space="0" w:color="auto"/>
            </w:tcBorders>
            <w:shd w:val="clear" w:color="auto" w:fill="FFFFFF"/>
            <w:vAlign w:val="center"/>
            <w:hideMark/>
          </w:tcPr>
          <w:p w:rsidR="00D41213" w:rsidRPr="00D41213" w:rsidRDefault="00D41213" w:rsidP="00D41213">
            <w:pPr>
              <w:spacing w:after="0" w:line="234" w:lineRule="atLeast"/>
              <w:jc w:val="center"/>
              <w:rPr>
                <w:rFonts w:ascii="Times New Roman" w:eastAsia="Times New Roman" w:hAnsi="Times New Roman" w:cs="Times New Roman"/>
                <w:sz w:val="28"/>
                <w:szCs w:val="28"/>
              </w:rPr>
            </w:pPr>
            <w:bookmarkStart w:id="13" w:name="muc_1"/>
            <w:r w:rsidRPr="00D41213">
              <w:rPr>
                <w:rFonts w:ascii="Times New Roman" w:eastAsia="Times New Roman" w:hAnsi="Times New Roman" w:cs="Times New Roman"/>
                <w:b/>
                <w:bCs/>
                <w:color w:val="000000"/>
                <w:sz w:val="28"/>
                <w:szCs w:val="28"/>
                <w:lang w:val="vi-VN"/>
              </w:rPr>
              <w:t>I</w:t>
            </w:r>
            <w:bookmarkEnd w:id="13"/>
          </w:p>
        </w:tc>
        <w:tc>
          <w:tcPr>
            <w:tcW w:w="4795" w:type="pct"/>
            <w:gridSpan w:val="6"/>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after="0" w:line="234" w:lineRule="atLeast"/>
              <w:rPr>
                <w:rFonts w:ascii="Times New Roman" w:eastAsia="Times New Roman" w:hAnsi="Times New Roman" w:cs="Times New Roman"/>
                <w:sz w:val="28"/>
                <w:szCs w:val="28"/>
              </w:rPr>
            </w:pPr>
            <w:bookmarkStart w:id="14" w:name="muc_1_name"/>
            <w:r w:rsidRPr="00D41213">
              <w:rPr>
                <w:rFonts w:ascii="Times New Roman" w:eastAsia="Times New Roman" w:hAnsi="Times New Roman" w:cs="Times New Roman"/>
                <w:b/>
                <w:bCs/>
                <w:color w:val="000000"/>
                <w:sz w:val="28"/>
                <w:szCs w:val="28"/>
                <w:lang w:val="vi-VN"/>
              </w:rPr>
              <w:t>Lĩnh vực: Tư pháp - Công an - Lao động - Bảo hiểm xã hội</w:t>
            </w:r>
            <w:bookmarkEnd w:id="14"/>
          </w:p>
        </w:tc>
      </w:tr>
      <w:tr w:rsidR="00D41213" w:rsidRPr="00D41213" w:rsidTr="00D41213">
        <w:trPr>
          <w:tblCellSpacing w:w="0" w:type="dxa"/>
        </w:trPr>
        <w:tc>
          <w:tcPr>
            <w:tcW w:w="205" w:type="pct"/>
            <w:tcBorders>
              <w:top w:val="nil"/>
              <w:left w:val="single" w:sz="8" w:space="0" w:color="auto"/>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1</w:t>
            </w:r>
          </w:p>
        </w:tc>
        <w:tc>
          <w:tcPr>
            <w:tcW w:w="644"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Liên thông thủ tục: Đăng ký khai tử, xóa đăng ký thường trú</w:t>
            </w:r>
          </w:p>
        </w:tc>
        <w:tc>
          <w:tcPr>
            <w:tcW w:w="1127"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Nếu có nhu cầu, người dân được nhận trích lục khai tử ngay sau khi UBND cấp xã thực hiện xong việc đăng ký khai tử.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xóa đăng ký thường trú: 06 ngày làm việc, kể từ ngày nhận đủ hồ sơ hợp lệ, trong đó:</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Đối với Công an xã, thị trấn 02 ngày làm việc;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Đối với công an thành phố Hà Tĩnh, thị xã Kỳ Anh, thị xã Hồng Lĩnh 04 ngày làm việc.</w:t>
            </w:r>
          </w:p>
        </w:tc>
        <w:tc>
          <w:tcPr>
            <w:tcW w:w="60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Bộ phận Tiếp nhận và Trả kết quả UBND cấp xã</w:t>
            </w:r>
          </w:p>
        </w:tc>
        <w:tc>
          <w:tcPr>
            <w:tcW w:w="698"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- 5.000 đồng/trường hợp nếu đăng ký khai tử quá hạn, đăng ký khai tử có yếu tố nước ngoài tại khu vực biên giới.</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Tất cả các trường hợp đăng ký khai tử khác: Miễn lệ phí.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Xóa đăng ký thường trú: Không thu lệ phí.</w:t>
            </w:r>
          </w:p>
        </w:tc>
        <w:tc>
          <w:tcPr>
            <w:tcW w:w="115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Hộ tịch năm 2014.</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123/2015/NĐ-CP ngày 15/11/2015 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cư trú ngày 11/7/2013.</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Nghị định số 31/2014/NĐ-CP ngày 18/4/2014 của Chính phủ quy định chi tiết một số điều </w:t>
            </w:r>
            <w:r w:rsidRPr="00D41213">
              <w:rPr>
                <w:rFonts w:ascii="Times New Roman" w:eastAsia="Times New Roman" w:hAnsi="Times New Roman" w:cs="Times New Roman"/>
                <w:sz w:val="28"/>
                <w:szCs w:val="28"/>
                <w:lang w:val="vi-VN"/>
              </w:rPr>
              <w:lastRenderedPageBreak/>
              <w:t>và biện pháp thi hành luật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35/2014/TT-BCA ngày 09/9/2014 của Bộ Công an quy định chi tiết thi hành một số điều của Luật Cư trú và Nghị định số 31/2014/NĐ-CP ngày 18/4/2014 của Chính phủ quy định chi tiết một số điều và biện pháp thi hành Luật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36/2014/TT-BCA ngày 09/9/2014 của Bộ Công an quy định về biểu mẫu sử dụng trong đăng ký, quản lý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61/2014/TT-BCA ngày 20/11/2014 của Bộ Công an quy định về quy trình đăng ký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quyết số 26/2016/NQ-HĐND ngày 15/12/2016 của HĐND tỉnh quy định về mức thu, miễn, giảm, thu, nộp, quản lý và sử dụng các khoản phí, lệ phí thuộc thẩm quyền của Hội đồng nhân dân tỉnh trên địa bàn tỉnh Hà Tĩnh.</w:t>
            </w:r>
          </w:p>
        </w:tc>
        <w:tc>
          <w:tcPr>
            <w:tcW w:w="563"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12-17</w:t>
            </w:r>
          </w:p>
        </w:tc>
      </w:tr>
      <w:tr w:rsidR="00D41213" w:rsidRPr="00D41213" w:rsidTr="00D41213">
        <w:trPr>
          <w:tblCellSpacing w:w="0" w:type="dxa"/>
        </w:trPr>
        <w:tc>
          <w:tcPr>
            <w:tcW w:w="205" w:type="pct"/>
            <w:tcBorders>
              <w:top w:val="nil"/>
              <w:left w:val="single" w:sz="8" w:space="0" w:color="auto"/>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2</w:t>
            </w:r>
          </w:p>
        </w:tc>
        <w:tc>
          <w:tcPr>
            <w:tcW w:w="644"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Liên thông thủ tục: Đăng ký khai tử, xóa đăng ký thường trú, hưởng chế độ tử tuất/hỗ trợ chi phí mai táng/hưởng mai táng phí</w:t>
            </w:r>
          </w:p>
        </w:tc>
        <w:tc>
          <w:tcPr>
            <w:tcW w:w="1127"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Nếu có nhu cầu, người dân được nhận trích lục khai tử ngay sau khi UBND cấp xã thực hiện xong việc đăng ký khai tử.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xóa đăng ký thường trú, hưởng chế độ tử tuất (trợ cấp tuất và trợ cấp mai táng): Tổng thời gian là 28 ngày, trong đó thời gian giải quyết là 20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xóa đăng ký thường trú, hỗ trợ chi phí mai táng cho đối tượng bảo trợ xã hội (được trợ giúp xã hội thường xuyên </w:t>
            </w:r>
            <w:r w:rsidRPr="00D41213">
              <w:rPr>
                <w:rFonts w:ascii="Times New Roman" w:eastAsia="Times New Roman" w:hAnsi="Times New Roman" w:cs="Times New Roman"/>
                <w:sz w:val="28"/>
                <w:szCs w:val="28"/>
                <w:lang w:val="vi-VN"/>
              </w:rPr>
              <w:lastRenderedPageBreak/>
              <w:t>tại cộng đồng): Tổng thời gian là 12 ngày, trong đó thời gian giải quyết là 08 ngày; thời gian chuyển hồ sơ là 04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 TTg ngày 08/11/2005, Quyết định số 188/2007/QĐ-TTg ngày 06/12/2007: Tổng thời gian là 48 ngày, trong đó thời gian giải quyết là 40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xóa đăng ký thường trú, hưởng mai táng phí đối với đối tượng thực hiện theo Quyết định số 150/2006/QĐ-TTg ngày 12/12/2006 </w:t>
            </w:r>
            <w:r w:rsidRPr="00D41213">
              <w:rPr>
                <w:rFonts w:ascii="Times New Roman" w:eastAsia="Times New Roman" w:hAnsi="Times New Roman" w:cs="Times New Roman"/>
                <w:sz w:val="28"/>
                <w:szCs w:val="28"/>
                <w:lang w:val="vi-VN"/>
              </w:rPr>
              <w:lastRenderedPageBreak/>
              <w:t>hướng dẫn thi hành một số điều của pháp lệnh cựu chiến binh: Tổng thời gian là 30 ngày; trong đó thời gian giải quyết là 24 ngày; thời gian chuyển hồ sơ là 06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Cam-pu-chi-a, giúp nước bạn Lào sau ngày 30/4/1975 đã phục viên, xuất ngũ, thôi việc: Tổng thời gian là 34 ngày, trong đó thời gian giải quyết là 26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xóa đăng ký thường trú, hưởng mai táng phí đối với đối tượng hưởng trợ cấp theo </w:t>
            </w:r>
            <w:r w:rsidRPr="00D41213">
              <w:rPr>
                <w:rFonts w:ascii="Times New Roman" w:eastAsia="Times New Roman" w:hAnsi="Times New Roman" w:cs="Times New Roman"/>
                <w:sz w:val="28"/>
                <w:szCs w:val="28"/>
                <w:lang w:val="vi-VN"/>
              </w:rPr>
              <w:lastRenderedPageBreak/>
              <w:t>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60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Bộ phận Tiếp nhận và Trả kết quả UBND cấp xã</w:t>
            </w:r>
          </w:p>
        </w:tc>
        <w:tc>
          <w:tcPr>
            <w:tcW w:w="698"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- 5.000 đồng/trường hợp nếu đăng ký khai tử quá hạn, đăng ký khai tử có yếu tố nước ngoài tại khu vực biên giới.</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Tất cả các trường hợp đăng ký khai tử khác: Miễn lệ phí.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Xóa đăng ký thường trú: Không thu phí/lệ phí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Hưởng chế độ tử tuất/hỗ trợ chi phí mai táng/hưởng mai táng phí: Không thu phí/lệ phí</w:t>
            </w:r>
          </w:p>
        </w:tc>
        <w:tc>
          <w:tcPr>
            <w:tcW w:w="115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Hộ tịch năm 2014;</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Cư trú ngày 11/7/2013;</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Bảo hiểm xã hội ngày 20/11/2014;</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An toàn vệ sinh lao động ngày 25/6/2015;</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123/2015/NĐ-CP ngày 15/11/2015 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31/2014/NĐ-CP ngày 18/4/2014 của Chính phủ quy định chi tiết một số điều và biện pháp thi hành Luật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115/2015/NĐ-CP ngày 11/11/2015 của Chính phủ hướng dẫn Luật Bảo hiểm xã hội về bảo hiểm xã hội bắt buộc;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134/2015/NĐ-CP ngày 29/12/2015 của Chính phủ hướng dẫn Luật Bảo hiểm xã hội về bảo hiểm xã hội tự nguyện;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 Nghị định số 33/2016/NĐ-CP ngày 10/5/2016 của Chính phủ hướng dẫn Luật Bảo hiểm xã hội về bảo hiểm xã hội bắt buộc đối với quân nhân, công an nhân dân và người làm công tác cơ yếu hưởng lương như đối với quân nhân;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35/2014/TT-BCA ngày 09/9/2014 của Bộ Công an quy định chi tiết thi hành một số điều của Luật Cư trú và Nghị định số 31/2014/NĐ-CP ngày 18/4/2014 của Chính phủ quy định chi tiết một số điều và biện pháp thi hành Luật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Thông tư số </w:t>
            </w:r>
            <w:r w:rsidRPr="00D41213">
              <w:rPr>
                <w:rFonts w:ascii="Times New Roman" w:eastAsia="Times New Roman" w:hAnsi="Times New Roman" w:cs="Times New Roman"/>
                <w:sz w:val="28"/>
                <w:szCs w:val="28"/>
                <w:lang w:val="vi-VN"/>
              </w:rPr>
              <w:lastRenderedPageBreak/>
              <w:t>36/2014/TT-BCA ngày 09/9/2014 của Bộ Công an quy định về biểu mẫu sử dụng trong đăng ký, quản lý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61/2014/TT-BCA ngày 20/11/2014 của Bộ Công an quy định về quy trình đăng ký cư trú;</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01/2016/TT-BLĐTBXH ngày 18/02/2016 của Bộ Lao động - Thương binh và xã hội quy định chi tiết và hướng dẫn thi hành một số điều của Luật BHXH về BHXH tự nguyện;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59/2015/TT-BLĐTBXH ngày 29/12/2015 của Bộ Lao động - Thương binh và Xã hội quy định chi tiết và hướng dẫn thi hành một số điều của Luật bảo hiểm xã hội về bảo hiểm xã hội bắt buộc;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Quyết định số 250/QĐ-TTg ngày 29/01/2013 của Thủ tướng Chính phủ về việc giải quyết chế độ, chính sách đối với Chủ nhiệm hợp tác xã có quy mô </w:t>
            </w:r>
            <w:r w:rsidRPr="00D41213">
              <w:rPr>
                <w:rFonts w:ascii="Times New Roman" w:eastAsia="Times New Roman" w:hAnsi="Times New Roman" w:cs="Times New Roman"/>
                <w:sz w:val="28"/>
                <w:szCs w:val="28"/>
                <w:lang w:val="vi-VN"/>
              </w:rPr>
              <w:lastRenderedPageBreak/>
              <w:t>toàn xã trong thời kỳ bao cấp chưa được hưởng chế độ của Nhà nước;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Quyết định số 166/QĐ-BHXH ngày 31/01/2019 của BHXH Việt Nam ban hành Quy trình giải quyết hưởng các chế độ BHXH, chi trả các chế độ Bảo hiểm xã hội, Bảo hiểm thất nghiệp;</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quyết số 26/2016/NQ-HĐND ngày 15/12/2016 của HĐND tỉnh quy định về mức thu, miễn, giảm, thu, nộp, quản lý và sử dụng các khoản phí, lệ phí thuộc thẩm quyền của Hội đồng nhân dân tỉnh trên địa bàn tỉnh Hà Tĩnh.</w:t>
            </w:r>
          </w:p>
        </w:tc>
        <w:tc>
          <w:tcPr>
            <w:tcW w:w="563"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18-35</w:t>
            </w:r>
          </w:p>
        </w:tc>
      </w:tr>
      <w:tr w:rsidR="00D41213" w:rsidRPr="00D41213" w:rsidTr="00D41213">
        <w:trPr>
          <w:tblCellSpacing w:w="0" w:type="dxa"/>
        </w:trPr>
        <w:tc>
          <w:tcPr>
            <w:tcW w:w="205" w:type="pct"/>
            <w:tcBorders>
              <w:top w:val="nil"/>
              <w:left w:val="single" w:sz="8" w:space="0" w:color="auto"/>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3</w:t>
            </w:r>
          </w:p>
        </w:tc>
        <w:tc>
          <w:tcPr>
            <w:tcW w:w="644"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Đăng ký khai tử, hưởng chế độ tử tuất/hỗ trợ chi phí mai táng/hưởng mai táng phí</w:t>
            </w:r>
          </w:p>
        </w:tc>
        <w:tc>
          <w:tcPr>
            <w:tcW w:w="1127"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Nếu có nhu cầu, người dân được nhận trích lục khai tử ngay sau khi UBND cấp xã thực hiện xong việc đăng ký khai tử.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hưởng chế độ tử tuất (trợ cấp tuất và trợ cấp mai táng): Tổng thời gian là 28 ngày trong đó thời gian </w:t>
            </w:r>
            <w:r w:rsidRPr="00D41213">
              <w:rPr>
                <w:rFonts w:ascii="Times New Roman" w:eastAsia="Times New Roman" w:hAnsi="Times New Roman" w:cs="Times New Roman"/>
                <w:sz w:val="28"/>
                <w:szCs w:val="28"/>
                <w:lang w:val="vi-VN"/>
              </w:rPr>
              <w:lastRenderedPageBreak/>
              <w:t>giải quyết là 20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hưởng mai táng phí đối với đối tượng thân nhân liệt sĩ đang hưởng trợ cấp hàng tháng; người trực tiếp tham gia kháng chiến chống Mỹ cứu nước nhưng </w:t>
            </w:r>
            <w:r w:rsidRPr="00D41213">
              <w:rPr>
                <w:rFonts w:ascii="Times New Roman" w:eastAsia="Times New Roman" w:hAnsi="Times New Roman" w:cs="Times New Roman"/>
                <w:sz w:val="28"/>
                <w:szCs w:val="28"/>
                <w:lang w:val="vi-VN"/>
              </w:rPr>
              <w:lastRenderedPageBreak/>
              <w:t>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hưởng mai táng phí đối với đối tượng thực hiện theo Nghị định số 150/2006/NĐ-CP ngày 12/12/2006 hướng dẫn thi hành một số điều của Pháp lệnh Cựu chiến binh: Tổng thời gian là 30 ngày, trong đó thời gian giải quyết là 24 ngày; thời gian chuyển hồ sơ là 06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Trường hợp liên thông thủ tục đăng ký khai tử, hưởng mai táng phí đối với đối tượng hưởng trợ cấp theo Quyết định số 62/2011/QĐ-TTg ngày 09/11/2011 về chế độ, chính sách đối với đối tượng </w:t>
            </w:r>
            <w:r w:rsidRPr="00D41213">
              <w:rPr>
                <w:rFonts w:ascii="Times New Roman" w:eastAsia="Times New Roman" w:hAnsi="Times New Roman" w:cs="Times New Roman"/>
                <w:sz w:val="28"/>
                <w:szCs w:val="28"/>
                <w:lang w:val="vi-VN"/>
              </w:rPr>
              <w:lastRenderedPageBreak/>
              <w:t>tham gia chiến tranh bảo vệ tổ quốc, làm nhiệm vụ quốc tế ở Cam-pu-chi-a, giúp nước bạn Lào sau ngày 30 tháng 4 năm 1975 đã phục viên, xuất ngũ, thôi việc: Tổng thời gian là 34 ngày, trong đó thời gian giải quyết là 26 ngày; thời gian chuyển hồ sơ là 08 ngày.</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Trường hợp liên thông thủ tục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60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Bộ phận Tiếp nhận và Trả kết quả UBND cấp xã</w:t>
            </w:r>
          </w:p>
        </w:tc>
        <w:tc>
          <w:tcPr>
            <w:tcW w:w="698"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- 5.000 đồng/trường hợp nếu đăng ký khai tử quá hạn, đăng ký khai tử có yếu tố nước ngoài tại khu vực biên giới.</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Tất cả các trường hợp đăng ký khai tử </w:t>
            </w:r>
            <w:r w:rsidRPr="00D41213">
              <w:rPr>
                <w:rFonts w:ascii="Times New Roman" w:eastAsia="Times New Roman" w:hAnsi="Times New Roman" w:cs="Times New Roman"/>
                <w:sz w:val="28"/>
                <w:szCs w:val="28"/>
                <w:lang w:val="vi-VN"/>
              </w:rPr>
              <w:lastRenderedPageBreak/>
              <w:t>khác: Miễn lệ phí.</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Hưởng chế độ tử tuất/hỗ trợ chi phí mai táng/hưởng mai táng phí: Không thu phí/lệ phí</w:t>
            </w:r>
          </w:p>
        </w:tc>
        <w:tc>
          <w:tcPr>
            <w:tcW w:w="1156"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 Luật Hộ tịch năm 2014;</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123/2015/NĐ-CP ngày 15/11/2015 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Luật Bảo hiểm xã hội số 58/2014/QH13 ngày 20/11/2014;</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 Luật An toàn vệ sinh lao động số 84/2015/QH13 ngày 25/6/2015.</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115/2015/NĐ-CP ngày 11/11/2015 của Chính phủ hướng dẫn Luật Bảo hiểm xã hội về bảo hiểm xã hội bắt buộc.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134/2015/NĐ-CP ngày 29/12/2015 của Chính phủ hướng dẫn Luật Bảo hiểm xã hội về bảo hiểm xã hội tự nguyện.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định số 33/2016/NĐ-CP ngày 10/5/2016 của Chính phủ hướng dẫn Luật Bảo hiểm xã hội về bảo hiểm xã hội bắt buộc đối với quân nhân, công an nhân dân và người làm công tác cơ yếu hưởng lương như đối với quân nhân;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Thông tư số 15/2015/TT-BTP ngày 16/11/2015 của Bộ Tư pháp quy định chi tiết thi hành một số điều của Luật Hộ tịch và Nghị định số 123/2015/NĐ-CP ngày 15/11/2015 </w:t>
            </w:r>
            <w:r w:rsidRPr="00D41213">
              <w:rPr>
                <w:rFonts w:ascii="Times New Roman" w:eastAsia="Times New Roman" w:hAnsi="Times New Roman" w:cs="Times New Roman"/>
                <w:sz w:val="28"/>
                <w:szCs w:val="28"/>
                <w:lang w:val="vi-VN"/>
              </w:rPr>
              <w:lastRenderedPageBreak/>
              <w:t>của Chính phủ quy định chi tiết một số điều và biện pháp thi hành Luật Hộ tịch;</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59/2015/TT-BLĐTBXH ngày 29/12/2015 của Bộ Lao động - Thương binh và xã hội quy định chi tiết và hướng dẫn thi hành một số điều của Luật Bảo hiểm xã hội về bảo hiểm xã hội bắt buộc;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Thông tư số 01/2016/TT-BLĐTBXH ngày 18/02/2016 của Bộ Lao động - Thương binh và xã hội quy định chi tiết và hướng dẫn thi hành một số điều của Luật BHXH về BHXH tự nguyện;</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xml:space="preserve">- Quyết định số 166/QĐ-BHXH ngày 31/01/2019 </w:t>
            </w:r>
            <w:r w:rsidRPr="00D41213">
              <w:rPr>
                <w:rFonts w:ascii="Times New Roman" w:eastAsia="Times New Roman" w:hAnsi="Times New Roman" w:cs="Times New Roman"/>
                <w:sz w:val="28"/>
                <w:szCs w:val="28"/>
                <w:lang w:val="vi-VN"/>
              </w:rPr>
              <w:lastRenderedPageBreak/>
              <w:t>của BHXH Việt Nam ban hành Quy trình giải quyết hưởng các chế độ BHXH, chi trả các chế độ Bảo hiểm xã hội, Bảo hiểm thất nghiệp;</w:t>
            </w:r>
          </w:p>
          <w:p w:rsidR="00D41213" w:rsidRPr="00D41213" w:rsidRDefault="00D41213" w:rsidP="00D41213">
            <w:pPr>
              <w:spacing w:before="120" w:after="120" w:line="234" w:lineRule="atLeast"/>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t>- Nghị quyết số 26/2016/NQ-HĐND ngày 15/12/2016 của HĐND tỉnh quy định về mức thu, miễn, giảm, thu, nộp, quản lý và sử dụng các khoản phí, lệ phí thuộc thẩm quyền của Hội đồng nhân dân tỉnh trên địa bàn tỉnh Hà Tĩnh.</w:t>
            </w:r>
          </w:p>
        </w:tc>
        <w:tc>
          <w:tcPr>
            <w:tcW w:w="563" w:type="pct"/>
            <w:tcBorders>
              <w:top w:val="nil"/>
              <w:left w:val="nil"/>
              <w:bottom w:val="single" w:sz="8" w:space="0" w:color="auto"/>
              <w:right w:val="single" w:sz="8" w:space="0" w:color="auto"/>
            </w:tcBorders>
            <w:shd w:val="clear" w:color="auto" w:fill="FFFFFF"/>
            <w:vAlign w:val="center"/>
            <w:hideMark/>
          </w:tcPr>
          <w:p w:rsidR="00D41213" w:rsidRPr="00D41213" w:rsidRDefault="00D41213" w:rsidP="00D41213">
            <w:pPr>
              <w:spacing w:before="120" w:after="120" w:line="234" w:lineRule="atLeast"/>
              <w:jc w:val="center"/>
              <w:rPr>
                <w:rFonts w:ascii="Times New Roman" w:eastAsia="Times New Roman" w:hAnsi="Times New Roman" w:cs="Times New Roman"/>
                <w:sz w:val="28"/>
                <w:szCs w:val="28"/>
              </w:rPr>
            </w:pPr>
            <w:r w:rsidRPr="00D41213">
              <w:rPr>
                <w:rFonts w:ascii="Times New Roman" w:eastAsia="Times New Roman" w:hAnsi="Times New Roman" w:cs="Times New Roman"/>
                <w:sz w:val="28"/>
                <w:szCs w:val="28"/>
                <w:lang w:val="vi-VN"/>
              </w:rPr>
              <w:lastRenderedPageBreak/>
              <w:t>36-52</w:t>
            </w:r>
          </w:p>
        </w:tc>
      </w:tr>
    </w:tbl>
    <w:p w:rsidR="00D41213" w:rsidRPr="00D41213" w:rsidRDefault="00D41213" w:rsidP="00D41213">
      <w:pPr>
        <w:shd w:val="clear" w:color="auto" w:fill="FFFFFF"/>
        <w:spacing w:before="120" w:after="120" w:line="234" w:lineRule="atLeast"/>
        <w:rPr>
          <w:rFonts w:ascii="Times New Roman" w:eastAsia="Times New Roman" w:hAnsi="Times New Roman" w:cs="Times New Roman"/>
          <w:color w:val="000000"/>
          <w:sz w:val="28"/>
          <w:szCs w:val="28"/>
        </w:rPr>
      </w:pPr>
      <w:r w:rsidRPr="00D41213">
        <w:rPr>
          <w:rFonts w:ascii="Times New Roman" w:eastAsia="Times New Roman" w:hAnsi="Times New Roman" w:cs="Times New Roman"/>
          <w:b/>
          <w:bCs/>
          <w:color w:val="000000"/>
          <w:sz w:val="28"/>
          <w:szCs w:val="28"/>
        </w:rPr>
        <w:lastRenderedPageBreak/>
        <w:t> </w:t>
      </w:r>
    </w:p>
    <w:p w:rsidR="00697ED3" w:rsidRPr="00D41213" w:rsidRDefault="00697ED3">
      <w:pPr>
        <w:rPr>
          <w:rFonts w:ascii="Times New Roman" w:hAnsi="Times New Roman" w:cs="Times New Roman"/>
          <w:sz w:val="28"/>
          <w:szCs w:val="28"/>
        </w:rPr>
      </w:pPr>
    </w:p>
    <w:sectPr w:rsidR="00697ED3" w:rsidRPr="00D41213" w:rsidSect="00E80484">
      <w:type w:val="continuous"/>
      <w:pgSz w:w="11907" w:h="16840" w:code="9"/>
      <w:pgMar w:top="1134" w:right="1134" w:bottom="1134" w:left="1701" w:header="720" w:footer="72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13"/>
    <w:rsid w:val="000F5DCD"/>
    <w:rsid w:val="002C3F7E"/>
    <w:rsid w:val="003616B6"/>
    <w:rsid w:val="00697ED3"/>
    <w:rsid w:val="00CB4D38"/>
    <w:rsid w:val="00D41213"/>
    <w:rsid w:val="00E8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2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2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980BF-F78A-43B1-9084-ED2CA21B606C}"/>
</file>

<file path=customXml/itemProps2.xml><?xml version="1.0" encoding="utf-8"?>
<ds:datastoreItem xmlns:ds="http://schemas.openxmlformats.org/officeDocument/2006/customXml" ds:itemID="{3B169C7A-EBE9-49AC-A36C-86E90A730D54}"/>
</file>

<file path=customXml/itemProps3.xml><?xml version="1.0" encoding="utf-8"?>
<ds:datastoreItem xmlns:ds="http://schemas.openxmlformats.org/officeDocument/2006/customXml" ds:itemID="{65EE9D85-4B3E-4727-B54D-9F582F7DD622}"/>
</file>

<file path=docProps/app.xml><?xml version="1.0" encoding="utf-8"?>
<Properties xmlns="http://schemas.openxmlformats.org/officeDocument/2006/extended-properties" xmlns:vt="http://schemas.openxmlformats.org/officeDocument/2006/docPropsVTypes">
  <Template>Normal</Template>
  <TotalTime>1</TotalTime>
  <Pages>11</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2021-07-14T10:37:00Z</dcterms:created>
  <dcterms:modified xsi:type="dcterms:W3CDTF">2021-07-14T10:38:00Z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